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9A3" w:rsidRDefault="007B4069" w:rsidP="004549A3">
      <w:pPr>
        <w:jc w:val="right"/>
        <w:rPr>
          <w:rFonts w:ascii="Calibri" w:hAnsi="Calibri" w:cs="Arial"/>
          <w:b/>
          <w:bCs/>
          <w:caps/>
        </w:rPr>
      </w:pPr>
      <w:bookmarkStart w:id="0" w:name="_GoBack"/>
      <w:bookmarkEnd w:id="0"/>
      <w:r>
        <w:rPr>
          <w:rFonts w:ascii="Calibri" w:hAnsi="Calibri" w:cs="Arial"/>
          <w:b/>
          <w:bCs/>
          <w:caps/>
          <w:highlight w:val="yellow"/>
        </w:rPr>
        <w:t>ANEXA 3</w:t>
      </w:r>
      <w:r w:rsidR="004549A3">
        <w:rPr>
          <w:rFonts w:ascii="Calibri" w:hAnsi="Calibri" w:cs="Arial"/>
          <w:b/>
          <w:bCs/>
          <w:caps/>
          <w:highlight w:val="yellow"/>
        </w:rPr>
        <w:t xml:space="preserve"> LA ORDINUL ………/……………….</w:t>
      </w:r>
    </w:p>
    <w:p w:rsidR="004549A3" w:rsidRDefault="004549A3" w:rsidP="00B70595">
      <w:pPr>
        <w:jc w:val="center"/>
        <w:rPr>
          <w:rFonts w:ascii="Calibri" w:hAnsi="Calibri" w:cs="Arial"/>
          <w:b/>
          <w:bCs/>
        </w:rPr>
      </w:pPr>
    </w:p>
    <w:p w:rsidR="00B70595" w:rsidRPr="00B70595" w:rsidRDefault="00AA517A" w:rsidP="00B70595">
      <w:pPr>
        <w:jc w:val="center"/>
        <w:rPr>
          <w:rFonts w:ascii="Calibri" w:hAnsi="Calibri" w:cs="Arial"/>
          <w:b/>
          <w:bCs/>
          <w:caps/>
        </w:rPr>
      </w:pPr>
      <w:r w:rsidRPr="00B70595">
        <w:rPr>
          <w:rFonts w:ascii="Calibri" w:hAnsi="Calibri" w:cs="Arial"/>
          <w:b/>
          <w:bCs/>
        </w:rPr>
        <w:t xml:space="preserve">ANEXA </w:t>
      </w:r>
      <w:r w:rsidR="004549A3">
        <w:rPr>
          <w:rFonts w:ascii="Calibri" w:hAnsi="Calibri" w:cs="Arial"/>
          <w:b/>
          <w:bCs/>
        </w:rPr>
        <w:t>5</w:t>
      </w:r>
      <w:r w:rsidR="00933BDA" w:rsidRPr="00B70595">
        <w:rPr>
          <w:rFonts w:ascii="Calibri" w:hAnsi="Calibri" w:cs="Arial"/>
          <w:b/>
          <w:bCs/>
        </w:rPr>
        <w:t xml:space="preserve"> </w:t>
      </w:r>
      <w:r w:rsidR="00B70595" w:rsidRPr="00B70595">
        <w:rPr>
          <w:rFonts w:ascii="Calibri" w:hAnsi="Calibri" w:cs="Arial"/>
          <w:b/>
          <w:bCs/>
        </w:rPr>
        <w:t>-</w:t>
      </w:r>
      <w:r w:rsidRPr="00B70595">
        <w:rPr>
          <w:rFonts w:ascii="Calibri" w:hAnsi="Calibri" w:cs="Arial"/>
          <w:b/>
          <w:bCs/>
        </w:rPr>
        <w:t xml:space="preserve"> </w:t>
      </w:r>
      <w:r w:rsidRPr="00B70595">
        <w:rPr>
          <w:rFonts w:ascii="Calibri" w:hAnsi="Calibri" w:cs="Arial"/>
          <w:b/>
          <w:bCs/>
          <w:caps/>
        </w:rPr>
        <w:t xml:space="preserve">CLAUZE SPECIFICE </w:t>
      </w:r>
      <w:r w:rsidR="00556C7D">
        <w:rPr>
          <w:rFonts w:ascii="Calibri" w:hAnsi="Calibri" w:cs="Arial"/>
          <w:b/>
          <w:bCs/>
          <w:caps/>
        </w:rPr>
        <w:t xml:space="preserve">PRIORITĂȚII DE INVESTIȚII </w:t>
      </w:r>
      <w:r w:rsidR="00B70595" w:rsidRPr="00B70595">
        <w:rPr>
          <w:rFonts w:ascii="Calibri" w:hAnsi="Calibri" w:cs="Arial"/>
          <w:b/>
          <w:bCs/>
          <w:caps/>
        </w:rPr>
        <w:t>2.2 - Sprijinirea creării și extinderea capacităților avansate de producție și dezvoltarea serviciilor”</w:t>
      </w:r>
    </w:p>
    <w:p w:rsidR="00AA517A" w:rsidRPr="00B70595" w:rsidRDefault="00AA517A" w:rsidP="00B70595">
      <w:pPr>
        <w:jc w:val="center"/>
        <w:rPr>
          <w:rFonts w:ascii="Calibri" w:hAnsi="Calibri" w:cs="Arial"/>
          <w:b/>
          <w:bCs/>
          <w:caps/>
        </w:rPr>
      </w:pPr>
      <w:r w:rsidRPr="00B70595">
        <w:rPr>
          <w:rFonts w:ascii="Calibri" w:hAnsi="Calibri" w:cs="Arial"/>
          <w:b/>
          <w:bCs/>
          <w:caps/>
        </w:rPr>
        <w:t>(MODEL ORIENTATIV)</w:t>
      </w:r>
    </w:p>
    <w:p w:rsidR="00AA517A" w:rsidRDefault="00AA517A" w:rsidP="00AA517A">
      <w:pPr>
        <w:pStyle w:val="ListParagraph"/>
        <w:ind w:left="0"/>
        <w:contextualSpacing/>
        <w:rPr>
          <w:rFonts w:ascii="Calibri" w:hAnsi="Calibri" w:cs="Arial"/>
          <w:b/>
          <w:bCs/>
          <w:sz w:val="22"/>
          <w:szCs w:val="22"/>
        </w:rPr>
      </w:pPr>
    </w:p>
    <w:p w:rsidR="00AA517A" w:rsidRDefault="00AA517A" w:rsidP="00AA517A">
      <w:pPr>
        <w:pStyle w:val="ListParagraph"/>
        <w:ind w:left="0"/>
        <w:contextualSpacing/>
        <w:rPr>
          <w:rFonts w:ascii="Calibri" w:hAnsi="Calibri" w:cs="Arial"/>
          <w:noProof/>
          <w:sz w:val="22"/>
          <w:szCs w:val="22"/>
        </w:rPr>
      </w:pPr>
      <w:r>
        <w:rPr>
          <w:rFonts w:ascii="Calibri" w:hAnsi="Calibri" w:cs="Arial"/>
          <w:b/>
          <w:bCs/>
          <w:sz w:val="22"/>
          <w:szCs w:val="22"/>
        </w:rPr>
        <w:t xml:space="preserve">Pentru prezentul apel ANEXA 1, SECTIUNEA II din </w:t>
      </w:r>
      <w:r>
        <w:rPr>
          <w:rFonts w:ascii="Calibri" w:hAnsi="Calibri"/>
          <w:b/>
          <w:i/>
          <w:color w:val="0070C0"/>
          <w:sz w:val="22"/>
          <w:szCs w:val="22"/>
        </w:rPr>
        <w:t xml:space="preserve">Anexa 10.8 Forma de contract – model orientativ al contractului de finanţare – la Ghidul general </w:t>
      </w:r>
      <w:r>
        <w:rPr>
          <w:rFonts w:ascii="Calibri" w:hAnsi="Calibri" w:cs="Arial"/>
          <w:noProof/>
          <w:sz w:val="22"/>
          <w:szCs w:val="22"/>
        </w:rPr>
        <w:t>se completează cu următoarele prevederi:</w:t>
      </w:r>
    </w:p>
    <w:p w:rsidR="00AA517A" w:rsidRPr="00B52BED" w:rsidRDefault="00AA517A" w:rsidP="00AA517A">
      <w:pPr>
        <w:pStyle w:val="Heading5"/>
        <w:jc w:val="both"/>
        <w:rPr>
          <w:rFonts w:ascii="Calibri" w:hAnsi="Calibri" w:cs="Arial"/>
          <w:sz w:val="22"/>
          <w:szCs w:val="22"/>
          <w:lang w:eastAsia="ro-RO"/>
        </w:rPr>
      </w:pPr>
    </w:p>
    <w:p w:rsidR="00AA517A" w:rsidRDefault="00AA517A" w:rsidP="00AA517A">
      <w:pPr>
        <w:pStyle w:val="Heading1"/>
        <w:jc w:val="both"/>
        <w:rPr>
          <w:rFonts w:ascii="Calibri" w:hAnsi="Calibri"/>
          <w:sz w:val="22"/>
          <w:szCs w:val="22"/>
        </w:rPr>
      </w:pPr>
      <w:bookmarkStart w:id="1" w:name="_Articolul_3_-"/>
      <w:bookmarkStart w:id="2" w:name="_Toc468952542"/>
      <w:bookmarkEnd w:id="1"/>
      <w:r w:rsidRPr="00B52BED">
        <w:rPr>
          <w:rFonts w:ascii="Calibri" w:hAnsi="Calibri"/>
          <w:sz w:val="22"/>
          <w:szCs w:val="22"/>
        </w:rPr>
        <w:t>ANEXA I – CONDIȚII SPECIFICE</w:t>
      </w:r>
      <w:bookmarkEnd w:id="2"/>
    </w:p>
    <w:p w:rsidR="005E0925" w:rsidRPr="005E0925" w:rsidRDefault="005E0925" w:rsidP="005E0925">
      <w:pPr>
        <w:pStyle w:val="Heading1"/>
        <w:jc w:val="both"/>
        <w:rPr>
          <w:rFonts w:ascii="Calibri" w:hAnsi="Calibri"/>
          <w:sz w:val="22"/>
          <w:szCs w:val="22"/>
        </w:rPr>
      </w:pPr>
      <w:r w:rsidRPr="005E0925">
        <w:rPr>
          <w:rFonts w:ascii="Calibri" w:hAnsi="Calibri"/>
          <w:sz w:val="22"/>
          <w:szCs w:val="22"/>
        </w:rPr>
        <w:t>Secțiunea II – Condiții specifice aplicabile Priorității de investiții 2.2. ”Sprijinirea creării și extinderea capacităților avansate de producție și dezvoltarea serviciilor”, Apelului de proiecte 2.2 - IMM</w:t>
      </w:r>
    </w:p>
    <w:p w:rsidR="005E0925" w:rsidRPr="00CD03FF" w:rsidRDefault="005E0925" w:rsidP="005E0925">
      <w:pPr>
        <w:pStyle w:val="Articol"/>
        <w:numPr>
          <w:ilvl w:val="0"/>
          <w:numId w:val="2"/>
        </w:numPr>
      </w:pPr>
      <w:r w:rsidRPr="00273A1D">
        <w:t>Acordarea finanțării în condițiile ajutorului de stat și de minimis</w:t>
      </w:r>
    </w:p>
    <w:p w:rsidR="005E0925" w:rsidRDefault="005E0925" w:rsidP="005E0925">
      <w:pPr>
        <w:pStyle w:val="Alineat"/>
        <w:numPr>
          <w:ilvl w:val="2"/>
          <w:numId w:val="1"/>
        </w:numPr>
      </w:pPr>
      <w:r>
        <w:t>În cadrul prezentului contract, finanțarea nerambursabilă se acordă sub formă de ajutor de stat regional pentru investiții și ajutor de minimis, în baza Regulamentului (UE) nr. 651/2014 al Comisiei din 17 iunie 2014, de declarare a anumitor categorii de ajutoare compatibile cu piața internă în aplicarea articolelor 107 și 108 din tratat, publicat în Jurnalul Oficial al Uniunii Europene L 187/26.06.2014, respectiv a Regulamentului Comisiei Nr. 1407/2013 privind aplicarea articolelor 107 și 108 din Tratatul privind funcționarea Uniunii Europene ajutoarelor de minimis, publicat în Jurnalul Oficial al Uniunii Europene L 352/24.12.2013, precum și a Ordinului viceprim-ministrului, ministrul dezvoltării regionale şi administraţiei publice nr. 3254/21.12.2016 privind aprobarea măsurii de sprijin, constând în acordarea unor ajutoare de stat și ajutoare de minimis pentru îmbunătățirea competitivității economice prin creșterea productivității muncii în întreprinderi mici și mijlocii în cadrul Programului Operațional Regional 2014-2020.</w:t>
      </w:r>
    </w:p>
    <w:p w:rsidR="005E0925" w:rsidRDefault="005E0925" w:rsidP="005E0925">
      <w:pPr>
        <w:pStyle w:val="Alineat"/>
        <w:numPr>
          <w:ilvl w:val="2"/>
          <w:numId w:val="1"/>
        </w:numPr>
      </w:pPr>
      <w:r>
        <w:t>Data acordării ajutorului este data la care intră în vigoare contractul de finanțare, indiferent de momentul efectuării plăților/ rambursărilor efective în cadrul proiectului.</w:t>
      </w:r>
    </w:p>
    <w:p w:rsidR="005E0925" w:rsidRDefault="005E0925" w:rsidP="005E0925">
      <w:pPr>
        <w:pStyle w:val="Alineat"/>
        <w:numPr>
          <w:ilvl w:val="2"/>
          <w:numId w:val="1"/>
        </w:numPr>
      </w:pPr>
      <w:r>
        <w:t xml:space="preserve">Finanțarea nerambursabilă în cuantum total de </w:t>
      </w:r>
      <w:r w:rsidRPr="00024F69">
        <w:rPr>
          <w:highlight w:val="green"/>
        </w:rPr>
        <w:t>_______ lei ([valoarea în litere])</w:t>
      </w:r>
      <w:r>
        <w:t>, așa cum este specificată la Art. 3 alin (2) din Condițiile Generale, este constituită din următoarele tipuri de ajutor de stat:</w:t>
      </w:r>
    </w:p>
    <w:p w:rsidR="005E0925" w:rsidRDefault="005E0925" w:rsidP="005E0925">
      <w:pPr>
        <w:pStyle w:val="Alineat-lit"/>
        <w:numPr>
          <w:ilvl w:val="3"/>
          <w:numId w:val="1"/>
        </w:numPr>
      </w:pPr>
      <w:r>
        <w:t xml:space="preserve">Ajutor de stat regional pentru investiții, în cuantum de </w:t>
      </w:r>
      <w:r w:rsidRPr="00024F69">
        <w:rPr>
          <w:highlight w:val="green"/>
        </w:rPr>
        <w:t>_______ lei ([valoarea în litere]),</w:t>
      </w:r>
      <w:r>
        <w:t xml:space="preserve"> ce se supune prevederilor Regulamentului (UE) nr. 651/2014 al Comisiei din 17 iunie 2014, de declarare a anumitor categorii de ajutoare compatibile cu piața internă în aplicarea articolelor 107 și 108 din tratat</w:t>
      </w:r>
    </w:p>
    <w:p w:rsidR="005E0925" w:rsidRPr="00CD03FF" w:rsidRDefault="005E0925" w:rsidP="005E0925">
      <w:pPr>
        <w:pStyle w:val="Alineat-lit"/>
        <w:numPr>
          <w:ilvl w:val="3"/>
          <w:numId w:val="1"/>
        </w:numPr>
      </w:pPr>
      <w:r>
        <w:t xml:space="preserve">Ajutor de minimis, în cuantum de </w:t>
      </w:r>
      <w:r w:rsidRPr="00024F69">
        <w:rPr>
          <w:highlight w:val="green"/>
        </w:rPr>
        <w:t>___________lei ([valoarea în litere]),</w:t>
      </w:r>
      <w:r>
        <w:t xml:space="preserve"> ce se supune prevederilor Regulamentului Comisiei Nr. 1407/2013 privind aplicarea articolelor 107 și 108 din Tratatul privind funcționarea Uniunii Europene ajutoarelor de minimis</w:t>
      </w:r>
    </w:p>
    <w:p w:rsidR="005E0925" w:rsidRPr="00CD03FF" w:rsidRDefault="005E0925" w:rsidP="005E0925">
      <w:pPr>
        <w:pStyle w:val="Articol"/>
        <w:numPr>
          <w:ilvl w:val="0"/>
          <w:numId w:val="1"/>
        </w:numPr>
      </w:pPr>
      <w:r w:rsidRPr="00273A1D">
        <w:t>Alte obligații specifice beneficiarului</w:t>
      </w:r>
    </w:p>
    <w:p w:rsidR="005E0925" w:rsidRDefault="005E0925" w:rsidP="005E0925">
      <w:pPr>
        <w:pStyle w:val="Alineat"/>
        <w:numPr>
          <w:ilvl w:val="2"/>
          <w:numId w:val="1"/>
        </w:numPr>
      </w:pPr>
      <w:r>
        <w:t>Beneficiarul se obligă ca, în cazul în care desfășoară sau va desfășura activități în mai multe domenii de activitate, ajutorul obținut în cadrul prezentului Contract să fie utilizat exclusiv în domeniul de activitate (i.e. clasă CAEN) specificat în Anexa 2(doi) -Cererea de finanțare.</w:t>
      </w:r>
    </w:p>
    <w:p w:rsidR="005E0925" w:rsidRDefault="005E0925" w:rsidP="005E0925">
      <w:pPr>
        <w:pStyle w:val="Alineat"/>
        <w:numPr>
          <w:ilvl w:val="2"/>
          <w:numId w:val="1"/>
        </w:numPr>
      </w:pPr>
      <w:r>
        <w:t>Beneficiarul se obligă să notifice AM/OI pe perioada de implementare a activităților proiectului de după semnarea contractului, în termen de 5 zile lucrătoare de la emiterea certificatului de înregistrare în scopuri de TVA, dacă este cazul.</w:t>
      </w:r>
    </w:p>
    <w:p w:rsidR="005E0925" w:rsidRDefault="005E0925" w:rsidP="005E0925">
      <w:pPr>
        <w:pStyle w:val="Alineat"/>
        <w:numPr>
          <w:ilvl w:val="2"/>
          <w:numId w:val="1"/>
        </w:numPr>
      </w:pPr>
      <w:r>
        <w:lastRenderedPageBreak/>
        <w:t>Perioada de implementare a activităților după semnarea contractului poate fi extinsă, în conformitate cu Condițiile generale și specifice, până la cel mult dublul perioadei inițiale, dar nu mai târziu de 31 decembrie 2023.</w:t>
      </w:r>
    </w:p>
    <w:p w:rsidR="005E0925" w:rsidRDefault="005E0925" w:rsidP="005E0925">
      <w:pPr>
        <w:pStyle w:val="Alineat"/>
        <w:numPr>
          <w:ilvl w:val="2"/>
          <w:numId w:val="1"/>
        </w:numPr>
      </w:pPr>
      <w:r>
        <w:t xml:space="preserve">Modificarea locului de implementare, în perioada de durabilitate prevăzută la art. 2, alin (5) din Condițiile generale, este permisă doar pentru proiectele care nu implică lucrări de construcții (indiferent dacă acestea se supun sau nu autorizării) şi cu respectarea următoarelor condiţii: </w:t>
      </w:r>
    </w:p>
    <w:p w:rsidR="005E0925" w:rsidRDefault="005E0925" w:rsidP="005E0925">
      <w:pPr>
        <w:pStyle w:val="Alineat-lit"/>
        <w:numPr>
          <w:ilvl w:val="3"/>
          <w:numId w:val="1"/>
        </w:numPr>
      </w:pPr>
      <w:r>
        <w:t>schimbarea spaţiului nu este de natură să afecteze îndeplinirea indicatorilor stabiliţi prin cererea de finanţare pentru măsurarea atingerii rezultatelor şi obiectivelor proiectului.</w:t>
      </w:r>
    </w:p>
    <w:p w:rsidR="005E0925" w:rsidRDefault="005E0925" w:rsidP="005E0925">
      <w:pPr>
        <w:pStyle w:val="Alineat-lit"/>
        <w:numPr>
          <w:ilvl w:val="3"/>
          <w:numId w:val="1"/>
        </w:numPr>
      </w:pPr>
      <w:r>
        <w:t>noul spaţiu se află în mediul urban (pentru beneficiarii care se încadrează în oricare din categoriile IMM), respectiv în mediul rural (pentru beneficiarii care se încadrează în categoria întreprinderilor mijlocii), în regiunea de dezvoltare în care a fost depusă cererea de finanțare.</w:t>
      </w:r>
    </w:p>
    <w:p w:rsidR="005E0925" w:rsidRDefault="005E0925" w:rsidP="005E0925">
      <w:pPr>
        <w:pStyle w:val="Alineat-lit"/>
        <w:numPr>
          <w:ilvl w:val="3"/>
          <w:numId w:val="1"/>
        </w:numPr>
      </w:pPr>
      <w:r>
        <w:t>Actul prin care se dovedeşte dreptul de folosinţă asupra noului spațiu destinat implementării este valabil pe o perioada de minimum 3 ani de la data estimată pentru efectuarea plății finale în cadrul proiectului, sau fracţiunea rămasă din această perioadă, în funcţie de momentul la care intervine schimbarea locului de implementare.</w:t>
      </w:r>
    </w:p>
    <w:p w:rsidR="005E0925" w:rsidRDefault="005E0925" w:rsidP="005E0925">
      <w:pPr>
        <w:pStyle w:val="Alineat"/>
        <w:numPr>
          <w:ilvl w:val="2"/>
          <w:numId w:val="1"/>
        </w:numPr>
      </w:pPr>
      <w:r>
        <w:t>Dacă, oricând în perioada de durabilitate a proiectului prevăzută la art 2, alin. (5) din Condiții Generale, se constată că încadrarea valorii finanțării nerambursabile solicitate în plafonul de minimis/intensitatea maximă aplicabilă a ajutorului regional s-a realizat, la momentul solicitării și/sau acordării, în baza unor informații incomplete și/sau incorecte, beneficiarul fiind îndreptățit la o valoare mai mică a ajutorului, AM va rezilia contractul de finanțare și finanțarea acordată va fi recuperată în condițiile prezentului contract.</w:t>
      </w:r>
    </w:p>
    <w:p w:rsidR="005E0925" w:rsidRDefault="005E0925" w:rsidP="005E0925">
      <w:pPr>
        <w:pStyle w:val="Alineat"/>
        <w:numPr>
          <w:ilvl w:val="2"/>
          <w:numId w:val="1"/>
        </w:numPr>
      </w:pPr>
      <w:r>
        <w:t>Dacă implementarea proiectului nu conduce la realizarea unei investiții inițiale, în conformitate cu prevederile Regulamentului (UE) nr. 651/2014 al Comisiei, de declarare a anumitor categorii de ajutoare compatibile cu piața internă în aplicarea articolelor 107 și 108 din tratat, până la finalul exercițiului financiar ulterior anului în care se finalizează implementarea proiectului, AM va rezilia contractul de finanțare și finanțarea acordată va fi recuperată în condițiile prezentului contract.</w:t>
      </w:r>
    </w:p>
    <w:p w:rsidR="005E0925" w:rsidRDefault="005E0925" w:rsidP="005E0925">
      <w:pPr>
        <w:pStyle w:val="Alineat"/>
        <w:numPr>
          <w:ilvl w:val="2"/>
          <w:numId w:val="1"/>
        </w:numPr>
      </w:pPr>
      <w:r>
        <w:t>Pentru cererile de finanțare care presupun înființarea unui sediu secundar (punct de lucru) ori activarea într-un nou domeniu de activitate (clasa CAEN) ca urmare a realizării investiției, Beneficiarul are obligația obținerii autorizării clasei CAEN vizate de proiect, la locul de implementare, până la finalizarea implementării proiectului.</w:t>
      </w:r>
    </w:p>
    <w:p w:rsidR="005E0925" w:rsidRDefault="005E0925" w:rsidP="005E0925">
      <w:pPr>
        <w:pStyle w:val="Alineat"/>
        <w:numPr>
          <w:ilvl w:val="2"/>
          <w:numId w:val="1"/>
        </w:numPr>
      </w:pPr>
      <w:r>
        <w:t xml:space="preserve">În completarea art. </w:t>
      </w:r>
      <w:r w:rsidRPr="005E0925">
        <w:rPr>
          <w:highlight w:val="yellow"/>
        </w:rPr>
        <w:t>12, alin. (15)</w:t>
      </w:r>
      <w:r>
        <w:t xml:space="preserve"> din Condiții Specifice POR 2014-2020, contractul de finanțare va fi reziliat şi finanţarea nerambursabilă acordată va fi recuperată şi în cazul în care obiectele/ bunurile, fie ele mobile sau imobile, finanţate în cadrul prezentului Contract sunt închiriate, cu excepția situației în care finanțarea nerambursabilă a fost acordată pentru un domeniu de activitate (clasa CAEN) care constă în închirierea de obiecte/bunuri.</w:t>
      </w:r>
    </w:p>
    <w:p w:rsidR="005E0925" w:rsidRDefault="005E0925" w:rsidP="005E0925">
      <w:pPr>
        <w:pStyle w:val="Alineat"/>
        <w:numPr>
          <w:ilvl w:val="2"/>
          <w:numId w:val="1"/>
        </w:numPr>
      </w:pPr>
      <w:r>
        <w:t xml:space="preserve">În completarea obligațiilor Beneficiarului menționate la art. 7 alin. (5)-(8) din Condițiile Generale, în vederea asigurării monitorizării ajutoarelor, Beneficiarul are obligaţia să păstreze evidenţa detaliată a finanțării nerambursabile acordate în cadrul prezentului contract pe o perioadă de minimum 10 ani fiscali de la data intrării în vigoare a prezentului contract sau până la închiderea oficială a programului, oricare intervine ultima. Această evidenţă trebuie să conţină toate informaţiile necesare pentru a demonstra respectarea condiţiilor impuse de legislaţia comunitară în domeniul ajutorului de stat şi de minimis, sub sancțiunea recuperării ajutorului de stat acordat în conformitate cu prevederile prezentului contract de finanțare. </w:t>
      </w:r>
    </w:p>
    <w:p w:rsidR="005E0925" w:rsidRPr="00CD03FF" w:rsidRDefault="005E0925" w:rsidP="005E0925">
      <w:pPr>
        <w:pStyle w:val="Articol"/>
        <w:numPr>
          <w:ilvl w:val="0"/>
          <w:numId w:val="1"/>
        </w:numPr>
      </w:pPr>
      <w:r w:rsidRPr="00C85789">
        <w:t>Alte obligații specifice ale beneficiarului privind menținerea criteriilor de evaluare tehnică și financiară și eligibilitate pe perioada de durabilitate a investiției.</w:t>
      </w:r>
    </w:p>
    <w:p w:rsidR="005E0925" w:rsidRDefault="005E0925" w:rsidP="005E0925">
      <w:pPr>
        <w:pStyle w:val="Alineat"/>
        <w:numPr>
          <w:ilvl w:val="2"/>
          <w:numId w:val="1"/>
        </w:numPr>
      </w:pPr>
      <w:r>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rsidR="005E0925" w:rsidRDefault="005E0925" w:rsidP="005E0925">
      <w:pPr>
        <w:pStyle w:val="Alineat-lit"/>
        <w:numPr>
          <w:ilvl w:val="3"/>
          <w:numId w:val="1"/>
        </w:numPr>
      </w:pPr>
      <w:r>
        <w:t>Menținerea tipului de entitate juridică, respectiv de societate, definită în conformitate cu prevederile Legii nr. 31/1990, cu modificările și completările ulterioare sau de societate cooperativă, definită în conformitate cu prevederile Legii nr. 1/2005, cu modificările și completările ulterioare;</w:t>
      </w:r>
    </w:p>
    <w:p w:rsidR="005E0925" w:rsidRDefault="005E0925" w:rsidP="005E0925">
      <w:pPr>
        <w:pStyle w:val="Alineat-lit"/>
        <w:numPr>
          <w:ilvl w:val="3"/>
          <w:numId w:val="1"/>
        </w:numPr>
      </w:pPr>
      <w:r>
        <w:t>Menținerea clasei CAEN specificate ca atare în cadrul cererii de finanțare pentru care se acordă finanțarea în cadrul prezentului contract;</w:t>
      </w:r>
    </w:p>
    <w:p w:rsidR="005E0925" w:rsidRDefault="005E0925" w:rsidP="005E0925">
      <w:pPr>
        <w:pStyle w:val="Articol"/>
        <w:numPr>
          <w:ilvl w:val="0"/>
          <w:numId w:val="1"/>
        </w:numPr>
      </w:pPr>
      <w:r>
        <w:t>Alte obligații specifice OI.</w:t>
      </w:r>
    </w:p>
    <w:p w:rsidR="005E0925" w:rsidRDefault="005E0925" w:rsidP="005E0925">
      <w:pPr>
        <w:pStyle w:val="Alineat"/>
        <w:numPr>
          <w:ilvl w:val="2"/>
          <w:numId w:val="1"/>
        </w:numPr>
      </w:pPr>
      <w:r>
        <w:t>OI are obligația de a monitoriza îndeplinirea obligațiilor Beneficiarului menționate la art. 3, alin. (1) din prezenta secțiune și să informeze AM cu privire la aceste aspecte.</w:t>
      </w:r>
    </w:p>
    <w:p w:rsidR="001A5DD5" w:rsidRPr="00CD03FF" w:rsidRDefault="001A5DD5" w:rsidP="001A5DD5">
      <w:pPr>
        <w:pStyle w:val="Articol"/>
        <w:numPr>
          <w:ilvl w:val="0"/>
          <w:numId w:val="1"/>
        </w:numPr>
      </w:pPr>
      <w:r>
        <w:t>Alte prevederi</w:t>
      </w:r>
    </w:p>
    <w:p w:rsidR="001A5DD5" w:rsidRPr="00CD03FF" w:rsidRDefault="001A5DD5" w:rsidP="001A5DD5">
      <w:pPr>
        <w:pStyle w:val="Alineat"/>
        <w:numPr>
          <w:ilvl w:val="2"/>
          <w:numId w:val="1"/>
        </w:numPr>
      </w:pPr>
      <w:r>
        <w:t>Din Anexa 9 – Monitorizarea și raportarea, Secțiunea I - Monitorizarea implementării contractului de finanţare, alineatul (3) nu se aplică.</w:t>
      </w:r>
    </w:p>
    <w:p w:rsidR="00AA517A" w:rsidRDefault="00AA517A"/>
    <w:sectPr w:rsidR="00AA517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68D" w:rsidRDefault="0067268D" w:rsidP="00AA517A">
      <w:pPr>
        <w:spacing w:after="0" w:line="240" w:lineRule="auto"/>
      </w:pPr>
      <w:r>
        <w:separator/>
      </w:r>
    </w:p>
  </w:endnote>
  <w:endnote w:type="continuationSeparator" w:id="0">
    <w:p w:rsidR="0067268D" w:rsidRDefault="0067268D"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68D" w:rsidRDefault="0067268D" w:rsidP="00AA517A">
      <w:pPr>
        <w:spacing w:after="0" w:line="240" w:lineRule="auto"/>
      </w:pPr>
      <w:r>
        <w:separator/>
      </w:r>
    </w:p>
  </w:footnote>
  <w:footnote w:type="continuationSeparator" w:id="0">
    <w:p w:rsidR="0067268D" w:rsidRDefault="0067268D"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AA517A">
    <w:pPr>
      <w:jc w:val="both"/>
    </w:pPr>
    <w:r w:rsidRPr="009B3029">
      <w:t xml:space="preserve">Anexa </w:t>
    </w:r>
    <w:r w:rsidR="004549A3">
      <w:t xml:space="preserve">5 </w:t>
    </w:r>
    <w:r w:rsidRPr="00066050">
      <w:t xml:space="preserve">la </w:t>
    </w:r>
    <w:r w:rsidR="00B70595" w:rsidRPr="00066050">
      <w:t>Ordinului nr. 3259/22.12.2016 pentru aprobarea „Ghidului Solicitantului - Condiții specifice de accesare a fondurilor în cadrul Axei prioritare 2 - Îmbunătăţirea competitivităţii întreprinderilor mici şi mijlocii, Priorității de investiţii 2.2 - Sprijinirea creării și extinderea capacităților avansate de producție și dezvoltarea serviciilor</w:t>
    </w:r>
    <w:r w:rsidR="00B70595" w:rsidRPr="008B7CC4">
      <w:t>”</w:t>
    </w:r>
  </w:p>
  <w:p w:rsidR="00AA517A" w:rsidRDefault="00AA51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num w:numId="1">
    <w:abstractNumId w:val="0"/>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2">
    <w:abstractNumId w:val="0"/>
    <w:lvlOverride w:ilvl="0">
      <w:startOverride w:val="1"/>
      <w:lvl w:ilvl="0">
        <w:start w:val="1"/>
        <w:numFmt w:val="decima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lvlText w:val="%2."/>
        <w:lvlJc w:val="left"/>
        <w:pPr>
          <w:ind w:left="680" w:hanging="396"/>
        </w:pPr>
        <w:rPr>
          <w:rFonts w:ascii="Calibri" w:hAnsi="Calibri" w:hint="default"/>
          <w:sz w:val="20"/>
        </w:rPr>
      </w:lvl>
    </w:lvlOverride>
    <w:lvlOverride w:ilvl="2">
      <w:startOverride w:val="1"/>
      <w:lvl w:ilvl="2">
        <w:start w:val="1"/>
        <w:numFmt w:val="decimal"/>
        <w:lvlText w:val="(%3)"/>
        <w:lvlJc w:val="left"/>
        <w:pPr>
          <w:ind w:left="680" w:hanging="396"/>
        </w:pPr>
        <w:rPr>
          <w:rFonts w:ascii="Calibri" w:hAnsi="Calibri" w:hint="default"/>
          <w:sz w:val="20"/>
        </w:rPr>
      </w:lvl>
    </w:lvlOverride>
    <w:lvlOverride w:ilvl="3">
      <w:startOverride w:val="1"/>
      <w:lvl w:ilvl="3">
        <w:start w:val="1"/>
        <w:numFmt w:val="lowerLetter"/>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briel I. COSTACHE">
    <w15:presenceInfo w15:providerId="AD" w15:userId="S-1-5-21-2784544311-199262477-2526794783-1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66050"/>
    <w:rsid w:val="00086D1D"/>
    <w:rsid w:val="00094D69"/>
    <w:rsid w:val="000E0201"/>
    <w:rsid w:val="001806A3"/>
    <w:rsid w:val="001A5DD5"/>
    <w:rsid w:val="004549A3"/>
    <w:rsid w:val="005171C6"/>
    <w:rsid w:val="00556C7D"/>
    <w:rsid w:val="005E0925"/>
    <w:rsid w:val="00654EB3"/>
    <w:rsid w:val="0067268D"/>
    <w:rsid w:val="00767F36"/>
    <w:rsid w:val="007B4069"/>
    <w:rsid w:val="007D50CF"/>
    <w:rsid w:val="00844B10"/>
    <w:rsid w:val="00933BDA"/>
    <w:rsid w:val="009B3029"/>
    <w:rsid w:val="009D0E2E"/>
    <w:rsid w:val="00AA2EA3"/>
    <w:rsid w:val="00AA517A"/>
    <w:rsid w:val="00B70595"/>
    <w:rsid w:val="00BF424A"/>
    <w:rsid w:val="00C0466B"/>
    <w:rsid w:val="00C84687"/>
    <w:rsid w:val="00DB1BED"/>
    <w:rsid w:val="00E225AF"/>
    <w:rsid w:val="00FB4AC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customStyle="1" w:styleId="Articol">
    <w:name w:val="Articol"/>
    <w:basedOn w:val="ListParagraph"/>
    <w:link w:val="ArticolChar"/>
    <w:qFormat/>
    <w:rsid w:val="005E0925"/>
    <w:pPr>
      <w:spacing w:before="240" w:after="40"/>
      <w:ind w:left="1134" w:hanging="1134"/>
      <w:jc w:val="both"/>
    </w:pPr>
    <w:rPr>
      <w:rFonts w:asciiTheme="minorHAnsi" w:hAnsiTheme="minorHAnsi" w:cstheme="minorBidi"/>
      <w:b/>
      <w:iCs/>
      <w:noProof/>
      <w:sz w:val="20"/>
      <w:lang w:eastAsia="sk-SK"/>
    </w:rPr>
  </w:style>
  <w:style w:type="paragraph" w:customStyle="1" w:styleId="Alineat">
    <w:name w:val="Alineat"/>
    <w:basedOn w:val="ListParagraph"/>
    <w:link w:val="AlineatChar"/>
    <w:qFormat/>
    <w:rsid w:val="005E0925"/>
    <w:pPr>
      <w:spacing w:before="40" w:after="40"/>
      <w:ind w:left="680" w:hanging="396"/>
      <w:jc w:val="both"/>
    </w:pPr>
    <w:rPr>
      <w:rFonts w:asciiTheme="minorHAnsi" w:hAnsiTheme="minorHAnsi" w:cstheme="minorBidi"/>
      <w:iCs/>
      <w:noProof/>
      <w:sz w:val="20"/>
      <w:lang w:eastAsia="sk-SK"/>
    </w:rPr>
  </w:style>
  <w:style w:type="paragraph" w:customStyle="1" w:styleId="Alineat-lit">
    <w:name w:val="Alineat-lit"/>
    <w:basedOn w:val="Alineat"/>
    <w:link w:val="Alineat-litChar"/>
    <w:qFormat/>
    <w:rsid w:val="005E0925"/>
    <w:pPr>
      <w:spacing w:before="0" w:after="0"/>
      <w:ind w:left="1134" w:hanging="454"/>
    </w:pPr>
  </w:style>
  <w:style w:type="character" w:customStyle="1" w:styleId="ArticolChar">
    <w:name w:val="Articol Char"/>
    <w:basedOn w:val="DefaultParagraphFont"/>
    <w:link w:val="Articol"/>
    <w:rsid w:val="005E0925"/>
    <w:rPr>
      <w:rFonts w:eastAsia="Times New Roman"/>
      <w:b/>
      <w:iCs/>
      <w:noProof/>
      <w:sz w:val="20"/>
      <w:szCs w:val="24"/>
      <w:lang w:eastAsia="sk-SK"/>
    </w:rPr>
  </w:style>
  <w:style w:type="character" w:customStyle="1" w:styleId="AlineatChar">
    <w:name w:val="Alineat Char"/>
    <w:basedOn w:val="DefaultParagraphFont"/>
    <w:link w:val="Alineat"/>
    <w:rsid w:val="005E0925"/>
    <w:rPr>
      <w:rFonts w:eastAsia="Times New Roman"/>
      <w:iCs/>
      <w:noProof/>
      <w:sz w:val="20"/>
      <w:szCs w:val="24"/>
      <w:lang w:eastAsia="sk-SK"/>
    </w:rPr>
  </w:style>
  <w:style w:type="character" w:customStyle="1" w:styleId="Alineat-litChar">
    <w:name w:val="Alineat-lit Char"/>
    <w:basedOn w:val="AlineatChar"/>
    <w:link w:val="Alineat-lit"/>
    <w:rsid w:val="005E0925"/>
    <w:rPr>
      <w:rFonts w:eastAsia="Times New Roman"/>
      <w:iCs/>
      <w:noProof/>
      <w:sz w:val="20"/>
      <w:szCs w:val="24"/>
      <w:lang w:eastAsia="sk-SK"/>
    </w:rPr>
  </w:style>
  <w:style w:type="paragraph" w:styleId="BalloonText">
    <w:name w:val="Balloon Text"/>
    <w:basedOn w:val="Normal"/>
    <w:link w:val="BalloonTextChar"/>
    <w:uiPriority w:val="99"/>
    <w:semiHidden/>
    <w:unhideWhenUsed/>
    <w:rsid w:val="000660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0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customStyle="1" w:styleId="Articol">
    <w:name w:val="Articol"/>
    <w:basedOn w:val="ListParagraph"/>
    <w:link w:val="ArticolChar"/>
    <w:qFormat/>
    <w:rsid w:val="005E0925"/>
    <w:pPr>
      <w:spacing w:before="240" w:after="40"/>
      <w:ind w:left="1134" w:hanging="1134"/>
      <w:jc w:val="both"/>
    </w:pPr>
    <w:rPr>
      <w:rFonts w:asciiTheme="minorHAnsi" w:hAnsiTheme="minorHAnsi" w:cstheme="minorBidi"/>
      <w:b/>
      <w:iCs/>
      <w:noProof/>
      <w:sz w:val="20"/>
      <w:lang w:eastAsia="sk-SK"/>
    </w:rPr>
  </w:style>
  <w:style w:type="paragraph" w:customStyle="1" w:styleId="Alineat">
    <w:name w:val="Alineat"/>
    <w:basedOn w:val="ListParagraph"/>
    <w:link w:val="AlineatChar"/>
    <w:qFormat/>
    <w:rsid w:val="005E0925"/>
    <w:pPr>
      <w:spacing w:before="40" w:after="40"/>
      <w:ind w:left="680" w:hanging="396"/>
      <w:jc w:val="both"/>
    </w:pPr>
    <w:rPr>
      <w:rFonts w:asciiTheme="minorHAnsi" w:hAnsiTheme="minorHAnsi" w:cstheme="minorBidi"/>
      <w:iCs/>
      <w:noProof/>
      <w:sz w:val="20"/>
      <w:lang w:eastAsia="sk-SK"/>
    </w:rPr>
  </w:style>
  <w:style w:type="paragraph" w:customStyle="1" w:styleId="Alineat-lit">
    <w:name w:val="Alineat-lit"/>
    <w:basedOn w:val="Alineat"/>
    <w:link w:val="Alineat-litChar"/>
    <w:qFormat/>
    <w:rsid w:val="005E0925"/>
    <w:pPr>
      <w:spacing w:before="0" w:after="0"/>
      <w:ind w:left="1134" w:hanging="454"/>
    </w:pPr>
  </w:style>
  <w:style w:type="character" w:customStyle="1" w:styleId="ArticolChar">
    <w:name w:val="Articol Char"/>
    <w:basedOn w:val="DefaultParagraphFont"/>
    <w:link w:val="Articol"/>
    <w:rsid w:val="005E0925"/>
    <w:rPr>
      <w:rFonts w:eastAsia="Times New Roman"/>
      <w:b/>
      <w:iCs/>
      <w:noProof/>
      <w:sz w:val="20"/>
      <w:szCs w:val="24"/>
      <w:lang w:eastAsia="sk-SK"/>
    </w:rPr>
  </w:style>
  <w:style w:type="character" w:customStyle="1" w:styleId="AlineatChar">
    <w:name w:val="Alineat Char"/>
    <w:basedOn w:val="DefaultParagraphFont"/>
    <w:link w:val="Alineat"/>
    <w:rsid w:val="005E0925"/>
    <w:rPr>
      <w:rFonts w:eastAsia="Times New Roman"/>
      <w:iCs/>
      <w:noProof/>
      <w:sz w:val="20"/>
      <w:szCs w:val="24"/>
      <w:lang w:eastAsia="sk-SK"/>
    </w:rPr>
  </w:style>
  <w:style w:type="character" w:customStyle="1" w:styleId="Alineat-litChar">
    <w:name w:val="Alineat-lit Char"/>
    <w:basedOn w:val="AlineatChar"/>
    <w:link w:val="Alineat-lit"/>
    <w:rsid w:val="005E0925"/>
    <w:rPr>
      <w:rFonts w:eastAsia="Times New Roman"/>
      <w:iCs/>
      <w:noProof/>
      <w:sz w:val="20"/>
      <w:szCs w:val="24"/>
      <w:lang w:eastAsia="sk-SK"/>
    </w:rPr>
  </w:style>
  <w:style w:type="paragraph" w:styleId="BalloonText">
    <w:name w:val="Balloon Text"/>
    <w:basedOn w:val="Normal"/>
    <w:link w:val="BalloonTextChar"/>
    <w:uiPriority w:val="99"/>
    <w:semiHidden/>
    <w:unhideWhenUsed/>
    <w:rsid w:val="000660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60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54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1248</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11</cp:revision>
  <cp:lastPrinted>2017-09-20T09:10:00Z</cp:lastPrinted>
  <dcterms:created xsi:type="dcterms:W3CDTF">2017-07-27T11:06:00Z</dcterms:created>
  <dcterms:modified xsi:type="dcterms:W3CDTF">2017-10-04T07:16:00Z</dcterms:modified>
</cp:coreProperties>
</file>